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MEDIA RELEASE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For immediate release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September 2016</w:t>
      </w:r>
    </w:p>
    <w:p>
      <w:pPr>
        <w:spacing w:after="120" w:line="360" w:lineRule="auto"/>
        <w:jc w:val="center"/>
        <w:rPr>
          <w:rFonts w:ascii="AvantGarde" w:hAnsi="AvantGarde"/>
          <w:b/>
          <w:bCs/>
          <w:color w:val="012169"/>
        </w:rPr>
      </w:pPr>
      <w:r>
        <w:rPr>
          <w:rFonts w:ascii="AvantGarde" w:hAnsi="AvantGarde"/>
          <w:b/>
          <w:bCs/>
          <w:color w:val="012169"/>
        </w:rPr>
        <w:br/>
      </w:r>
      <w:r>
        <w:rPr>
          <w:rFonts w:ascii="AvantGarde" w:hAnsi="AvantGarde"/>
          <w:b/>
          <w:bCs/>
          <w:color w:val="012169"/>
        </w:rPr>
        <w:t xml:space="preserve">Millions of reasons to invest in childcare </w:t>
      </w:r>
      <w:proofErr w:type="spellStart"/>
      <w:r>
        <w:rPr>
          <w:rFonts w:ascii="AvantGarde" w:hAnsi="AvantGarde"/>
          <w:b/>
          <w:bCs/>
          <w:color w:val="012169"/>
        </w:rPr>
        <w:t>centres</w:t>
      </w:r>
      <w:proofErr w:type="spellEnd"/>
    </w:p>
    <w:p>
      <w:pPr>
        <w:spacing w:after="120" w:line="36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growing demand for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is no longer just from parents jostling to get their kids on waiting lists, but increasingly from investors looking to get a slice of this burgeoning real estate market and take advantage of the huge tax deductions available.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BMT Tax Depreciation’s Chief Executive Officer Bradley Beer, said there are a number of reasons why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are becoming more attractive to investors.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“In addition to the growing demand for this service, long term leases of ten or more years and yields of around 6 per cent, investors are becoming aware of the depreciation they can claim from such properties – often in the hundreds of thousands of dollars over the life of the property, and even into the millions for larger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.” 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 said in the last two years BMT has seen a notable increase in the number of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they have provided a tax depreciation schedule for.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“In the last financial year we saw a 67 per cent increase in depreciation schedules for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and a further 37 per cent increase in the year prior. This is in line with the growing demand for this type of property as an investment,” said </w:t>
      </w: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increase is supported by findings from Collier International’s recent whitepaper on childcare in Australia, which noted a 4.6 per cent annual growth rate for this industry.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According to </w:t>
      </w: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Beer, childcare </w:t>
      </w:r>
      <w:proofErr w:type="spellStart"/>
      <w:r>
        <w:rPr>
          <w:rFonts w:ascii="Century Gothic" w:hAnsi="Century Gothic"/>
          <w:sz w:val="20"/>
          <w:szCs w:val="20"/>
        </w:rPr>
        <w:t>centre</w:t>
      </w:r>
      <w:proofErr w:type="spellEnd"/>
      <w:r>
        <w:rPr>
          <w:rFonts w:ascii="Century Gothic" w:hAnsi="Century Gothic"/>
          <w:sz w:val="20"/>
          <w:szCs w:val="20"/>
        </w:rPr>
        <w:t xml:space="preserve"> operators are </w:t>
      </w:r>
      <w:proofErr w:type="spellStart"/>
      <w:r>
        <w:rPr>
          <w:rFonts w:ascii="Century Gothic" w:hAnsi="Century Gothic"/>
          <w:sz w:val="20"/>
          <w:szCs w:val="20"/>
        </w:rPr>
        <w:t>realising</w:t>
      </w:r>
      <w:proofErr w:type="spellEnd"/>
      <w:r>
        <w:rPr>
          <w:rFonts w:ascii="Century Gothic" w:hAnsi="Century Gothic"/>
          <w:sz w:val="20"/>
          <w:szCs w:val="20"/>
        </w:rPr>
        <w:t xml:space="preserve"> the value of claiming depreciation to improve cash flow and remain competitive in what is becoming a sought-after market.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“Many of the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we’ve prepared schedules for have been able to claim hundreds of thousands to millions of dollars in deductions over the life of the property. A large </w:t>
      </w:r>
      <w:proofErr w:type="spellStart"/>
      <w:r>
        <w:rPr>
          <w:rFonts w:ascii="Century Gothic" w:hAnsi="Century Gothic"/>
          <w:sz w:val="20"/>
          <w:szCs w:val="20"/>
        </w:rPr>
        <w:t>centre</w:t>
      </w:r>
      <w:proofErr w:type="spellEnd"/>
      <w:r>
        <w:rPr>
          <w:rFonts w:ascii="Century Gothic" w:hAnsi="Century Gothic"/>
          <w:sz w:val="20"/>
          <w:szCs w:val="20"/>
        </w:rPr>
        <w:t xml:space="preserve"> recently was able to claim close to $2 million in total deductions and $127,000 in first year deductions alone.” 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Common items located in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, such as artificial grass, sandpits and play equipment, are unexpected yet valuable sources of additional income.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“Recently, one of our clients was surprised to learn they could claim $8,950 in first year deductions for artificial grass and $15,000 in first year deductions for play equipment,” said </w:t>
      </w: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Other childcare </w:t>
      </w:r>
      <w:proofErr w:type="spellStart"/>
      <w:r>
        <w:rPr>
          <w:rFonts w:ascii="Century Gothic" w:hAnsi="Century Gothic"/>
          <w:sz w:val="20"/>
          <w:szCs w:val="20"/>
        </w:rPr>
        <w:t>centre</w:t>
      </w:r>
      <w:proofErr w:type="spellEnd"/>
      <w:r>
        <w:rPr>
          <w:rFonts w:ascii="Century Gothic" w:hAnsi="Century Gothic"/>
          <w:sz w:val="20"/>
          <w:szCs w:val="20"/>
        </w:rPr>
        <w:t xml:space="preserve"> items that can be claimed include food processors, bathroom accessories, </w:t>
      </w:r>
      <w:proofErr w:type="gramStart"/>
      <w:r>
        <w:rPr>
          <w:rFonts w:ascii="Century Gothic" w:hAnsi="Century Gothic"/>
          <w:sz w:val="20"/>
          <w:szCs w:val="20"/>
        </w:rPr>
        <w:t>refrigerators</w:t>
      </w:r>
      <w:proofErr w:type="gramEnd"/>
      <w:r>
        <w:rPr>
          <w:rFonts w:ascii="Century Gothic" w:hAnsi="Century Gothic"/>
          <w:sz w:val="20"/>
          <w:szCs w:val="20"/>
        </w:rPr>
        <w:t xml:space="preserve">, ceiling fans, computer equipment, washing machines, partitioning, dishwashers and vinyl.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Unlike a residential investment property, both owners and tenants of childcare </w:t>
      </w:r>
      <w:proofErr w:type="spellStart"/>
      <w:r>
        <w:rPr>
          <w:rFonts w:ascii="Century Gothic" w:hAnsi="Century Gothic"/>
          <w:sz w:val="20"/>
          <w:szCs w:val="20"/>
        </w:rPr>
        <w:t>centres</w:t>
      </w:r>
      <w:proofErr w:type="spellEnd"/>
      <w:r>
        <w:rPr>
          <w:rFonts w:ascii="Century Gothic" w:hAnsi="Century Gothic"/>
          <w:sz w:val="20"/>
          <w:szCs w:val="20"/>
        </w:rPr>
        <w:t xml:space="preserve"> can claim depreciation deductions, as well as those running child care services from their homes. Owners can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claim capital work deductions while tenants can claim depreciation for plant and equipment assets, such as those listed above.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 recommends that independent operators or those running childcare services from home could also take advantage of these deductions. 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“For operators who might be struggling with cash flow, depreciation deductions can provide additional income to help with day to day expenses and business operations,” said </w:t>
      </w:r>
      <w:proofErr w:type="spellStart"/>
      <w:r>
        <w:rPr>
          <w:rFonts w:ascii="Century Gothic" w:hAnsi="Century Gothic"/>
          <w:sz w:val="20"/>
          <w:szCs w:val="20"/>
        </w:rPr>
        <w:t>Mr</w:t>
      </w:r>
      <w:proofErr w:type="spellEnd"/>
      <w:r>
        <w:rPr>
          <w:rFonts w:ascii="Century Gothic" w:hAnsi="Century Gothic"/>
          <w:sz w:val="20"/>
          <w:szCs w:val="20"/>
        </w:rPr>
        <w:t xml:space="preserve"> Beer.</w:t>
      </w:r>
    </w:p>
    <w:p>
      <w:p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BMT Tax Depreciation is Australia’s leading provider of tax depreciation schedules. </w:t>
      </w:r>
    </w:p>
    <w:p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 ENDS-</w:t>
      </w:r>
      <w:r>
        <w:rPr>
          <w:rFonts w:ascii="Century Gothic" w:hAnsi="Century Gothic"/>
          <w:b/>
          <w:sz w:val="20"/>
          <w:szCs w:val="20"/>
        </w:rPr>
        <w:br/>
      </w:r>
    </w:p>
    <w:p>
      <w:pPr>
        <w:rPr>
          <w:rFonts w:ascii="Century Gothic" w:hAnsi="Century Gothic"/>
          <w:b/>
          <w:sz w:val="20"/>
          <w:szCs w:val="20"/>
        </w:rPr>
      </w:pPr>
    </w:p>
    <w:p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For all media enquires please contact</w:t>
      </w:r>
      <w:proofErr w:type="gramStart"/>
      <w:r>
        <w:rPr>
          <w:rFonts w:ascii="Century Gothic" w:hAnsi="Century Gothic"/>
          <w:b/>
        </w:rPr>
        <w:t>:</w:t>
      </w:r>
      <w:proofErr w:type="gramEnd"/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Bradley Beer </w:t>
      </w:r>
      <w:r>
        <w:rPr>
          <w:rFonts w:ascii="Century Gothic" w:hAnsi="Century Gothic"/>
          <w:sz w:val="20"/>
          <w:szCs w:val="20"/>
        </w:rPr>
        <w:br/>
        <w:t xml:space="preserve">CEO, BMT Tax Depreciation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Phone:</w:t>
      </w:r>
      <w:r>
        <w:rPr>
          <w:rFonts w:ascii="Century Gothic" w:hAnsi="Century Gothic"/>
          <w:sz w:val="20"/>
          <w:szCs w:val="20"/>
        </w:rPr>
        <w:tab/>
        <w:t xml:space="preserve">0413 271 777 </w:t>
      </w:r>
      <w:r>
        <w:rPr>
          <w:rFonts w:ascii="Century Gothic" w:hAnsi="Century Gothic"/>
          <w:sz w:val="20"/>
          <w:szCs w:val="20"/>
        </w:rPr>
        <w:br/>
        <w:t>Email:</w:t>
      </w:r>
      <w:r>
        <w:rPr>
          <w:rFonts w:ascii="Century Gothic" w:hAnsi="Century Gothic"/>
          <w:sz w:val="20"/>
          <w:szCs w:val="20"/>
        </w:rPr>
        <w:tab/>
      </w:r>
      <w:hyperlink r:id="rId7" w:history="1">
        <w:r>
          <w:rPr>
            <w:rStyle w:val="Hyperlink"/>
            <w:rFonts w:ascii="Century Gothic" w:hAnsi="Century Gothic"/>
            <w:sz w:val="20"/>
            <w:szCs w:val="20"/>
          </w:rPr>
          <w:t>media@bmtqs.com.au</w:t>
        </w:r>
      </w:hyperlink>
    </w:p>
    <w:p>
      <w:pPr>
        <w:rPr>
          <w:rFonts w:ascii="Century Gothic" w:hAnsi="Century Gothic"/>
          <w:sz w:val="20"/>
          <w:szCs w:val="20"/>
        </w:rPr>
      </w:pPr>
    </w:p>
    <w:p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About BMT Tax Depreciation</w:t>
      </w:r>
    </w:p>
    <w:p>
      <w:pPr>
        <w:spacing w:line="360" w:lineRule="auto"/>
      </w:pPr>
      <w:r>
        <w:rPr>
          <w:rFonts w:ascii="Century Gothic" w:hAnsi="Century Gothic"/>
          <w:sz w:val="20"/>
          <w:szCs w:val="20"/>
        </w:rPr>
        <w:t xml:space="preserve">BMT Tax Depreciation (BMT) is a Quantity Surveying company </w:t>
      </w:r>
      <w:proofErr w:type="spellStart"/>
      <w:r>
        <w:rPr>
          <w:rFonts w:ascii="Century Gothic" w:hAnsi="Century Gothic"/>
          <w:sz w:val="20"/>
          <w:szCs w:val="20"/>
        </w:rPr>
        <w:t>specialising</w:t>
      </w:r>
      <w:proofErr w:type="spellEnd"/>
      <w:r>
        <w:rPr>
          <w:rFonts w:ascii="Century Gothic" w:hAnsi="Century Gothic"/>
          <w:sz w:val="20"/>
          <w:szCs w:val="20"/>
        </w:rPr>
        <w:t xml:space="preserve"> in the provision of tax depreciation schedules for residential and commercial investment properties. Commencing business in 1997, demand from property investors nationally has seen business expand Australia-wide with offices now located in Sydney, Parramatta, Melbourne, Brisbane, Newcastle, Adelaide, Perth, Gold Coast, Cairns, Canberra, Hobart and Darwin.</w:t>
      </w: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sectPr>
      <w:headerReference w:type="default" r:id="rId8"/>
      <w:footerReference w:type="default" r:id="rId9"/>
      <w:headerReference w:type="first" r:id="rId10"/>
      <w:pgSz w:w="11900" w:h="16840"/>
      <w:pgMar w:top="1531" w:right="992" w:bottom="1276" w:left="10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-1952625</wp:posOffset>
          </wp:positionV>
          <wp:extent cx="7550785" cy="2760980"/>
          <wp:effectExtent l="0" t="0" r="0" b="1270"/>
          <wp:wrapNone/>
          <wp:docPr id="3" name="Picture 3" descr="Marketing:Graphic Design:BMT Stationery:2015_LH355 BMT Letterheads:2015_LH355_BMTLetterhead_ALL_PKG:All Addresses:2015_LH355_BMTLetterhead_ALL addresses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Graphic Design:BMT Stationery:2015_LH355 BMT Letterheads:2015_LH355_BMTLetterhead_ALL_PKG:All Addresses:2015_LH355_BMTLetterhead_ALL addresses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7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7560310" cy="1219835"/>
          <wp:effectExtent l="0" t="0" r="2540" b="0"/>
          <wp:wrapNone/>
          <wp:docPr id="1" name="Picture 1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0310" cy="1219835"/>
          <wp:effectExtent l="0" t="0" r="2540" b="0"/>
          <wp:wrapNone/>
          <wp:docPr id="2" name="Picture 2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  <w15:docId w15:val="{23B221E7-040D-4F80-8BB1-06BAF46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bmtq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4FB4-0614-482E-ADC1-0E60D894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BMT Tax Depreciation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Rani Bonwick</cp:lastModifiedBy>
  <cp:revision>13</cp:revision>
  <dcterms:created xsi:type="dcterms:W3CDTF">2016-07-27T01:01:00Z</dcterms:created>
  <dcterms:modified xsi:type="dcterms:W3CDTF">2017-03-23T23:43:00Z</dcterms:modified>
</cp:coreProperties>
</file>